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5498" w:rsidRPr="00961F07" w:rsidRDefault="00961F07" w:rsidP="00417284">
      <w:pPr>
        <w:rPr>
          <w:b/>
          <w:noProof/>
          <w:lang w:eastAsia="pt-BR"/>
        </w:rPr>
      </w:pPr>
      <w:r w:rsidRPr="00961F07">
        <w:rPr>
          <w:b/>
        </w:rPr>
        <w:t>TAXAS ADMINISTRATIVAS</w:t>
      </w:r>
    </w:p>
    <w:p w:rsidR="00C75498" w:rsidRDefault="00417284" w:rsidP="00417284">
      <w:r>
        <w:t>Classificação pelo impacto: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831"/>
        <w:gridCol w:w="2831"/>
      </w:tblGrid>
      <w:tr w:rsidR="00417284" w:rsidTr="00417284">
        <w:trPr>
          <w:trHeight w:val="765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284" w:rsidRDefault="0041728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DETECÇÃO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284" w:rsidRDefault="0041728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IMPACTO</w:t>
            </w:r>
          </w:p>
        </w:tc>
      </w:tr>
      <w:tr w:rsidR="00417284" w:rsidTr="00417284"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284" w:rsidRDefault="00417284">
            <w:pPr>
              <w:jc w:val="center"/>
            </w:pPr>
            <w:r>
              <w:t>NC não reincidente detectada na inspeção de recebimento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284" w:rsidRDefault="00417284">
            <w:pPr>
              <w:jc w:val="center"/>
            </w:pPr>
            <w:r>
              <w:t>Baixo</w:t>
            </w:r>
          </w:p>
        </w:tc>
      </w:tr>
      <w:tr w:rsidR="00417284" w:rsidTr="00417284"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284" w:rsidRDefault="00417284">
            <w:pPr>
              <w:jc w:val="center"/>
            </w:pPr>
            <w:r>
              <w:t>NC não reincidente detectada na linha de produção Bruning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284" w:rsidRDefault="00417284">
            <w:pPr>
              <w:jc w:val="center"/>
            </w:pPr>
            <w:r>
              <w:t>Médio</w:t>
            </w:r>
          </w:p>
        </w:tc>
      </w:tr>
      <w:tr w:rsidR="00417284" w:rsidTr="00417284"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284" w:rsidRDefault="00417284">
            <w:pPr>
              <w:jc w:val="center"/>
            </w:pPr>
            <w:r>
              <w:t>NC reincidente detectada tanto na inspeção de recebimento e/ou linha de produção Bruning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284" w:rsidRDefault="00195D7A">
            <w:pPr>
              <w:jc w:val="center"/>
            </w:pPr>
            <w:r>
              <w:t>Crítico</w:t>
            </w:r>
          </w:p>
        </w:tc>
      </w:tr>
      <w:tr w:rsidR="00417284" w:rsidTr="00417284"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284" w:rsidRDefault="00417284">
            <w:pPr>
              <w:jc w:val="center"/>
            </w:pPr>
            <w:r>
              <w:t>NC detectada no cliente e/ou campo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284" w:rsidRDefault="00195D7A">
            <w:pPr>
              <w:jc w:val="center"/>
            </w:pPr>
            <w:r>
              <w:t>Crítico</w:t>
            </w:r>
          </w:p>
        </w:tc>
      </w:tr>
    </w:tbl>
    <w:p w:rsidR="00C75498" w:rsidRDefault="002323E4" w:rsidP="002323E4">
      <w:pPr>
        <w:jc w:val="both"/>
      </w:pPr>
      <w:r>
        <w:t xml:space="preserve"> </w:t>
      </w:r>
    </w:p>
    <w:p w:rsidR="00417284" w:rsidRDefault="00417284" w:rsidP="00DC6F67">
      <w:r>
        <w:t>Taxas administrativas de abertura de RNC</w:t>
      </w:r>
      <w:r w:rsidR="00DC6F67">
        <w:t>:</w:t>
      </w:r>
      <w: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417284" w:rsidTr="005A00D5">
        <w:tc>
          <w:tcPr>
            <w:tcW w:w="2831" w:type="dxa"/>
          </w:tcPr>
          <w:p w:rsidR="00417284" w:rsidRDefault="00417284" w:rsidP="005A00D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Baixo</w:t>
            </w:r>
          </w:p>
        </w:tc>
        <w:tc>
          <w:tcPr>
            <w:tcW w:w="2831" w:type="dxa"/>
          </w:tcPr>
          <w:p w:rsidR="00417284" w:rsidRDefault="00417284" w:rsidP="005A00D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Médio</w:t>
            </w:r>
          </w:p>
        </w:tc>
        <w:tc>
          <w:tcPr>
            <w:tcW w:w="2832" w:type="dxa"/>
          </w:tcPr>
          <w:p w:rsidR="00417284" w:rsidRDefault="00417284" w:rsidP="005A00D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Crítico</w:t>
            </w:r>
          </w:p>
        </w:tc>
      </w:tr>
      <w:tr w:rsidR="00417284" w:rsidTr="005A00D5">
        <w:tc>
          <w:tcPr>
            <w:tcW w:w="2831" w:type="dxa"/>
          </w:tcPr>
          <w:p w:rsidR="00417284" w:rsidRDefault="00417284" w:rsidP="005A00D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R$250,00</w:t>
            </w:r>
          </w:p>
        </w:tc>
        <w:tc>
          <w:tcPr>
            <w:tcW w:w="2831" w:type="dxa"/>
          </w:tcPr>
          <w:p w:rsidR="00417284" w:rsidRDefault="00417284" w:rsidP="005A00D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R$500,00</w:t>
            </w:r>
          </w:p>
        </w:tc>
        <w:tc>
          <w:tcPr>
            <w:tcW w:w="2832" w:type="dxa"/>
          </w:tcPr>
          <w:p w:rsidR="00417284" w:rsidRDefault="00417284" w:rsidP="005A00D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1000,00</w:t>
            </w:r>
          </w:p>
        </w:tc>
      </w:tr>
    </w:tbl>
    <w:p w:rsidR="00417284" w:rsidRDefault="00417284" w:rsidP="002323E4">
      <w:pPr>
        <w:jc w:val="both"/>
      </w:pPr>
    </w:p>
    <w:p w:rsidR="00D37BF8" w:rsidRDefault="00D37BF8" w:rsidP="002323E4">
      <w:pPr>
        <w:jc w:val="both"/>
      </w:pPr>
      <w:r>
        <w:t>*O valor do documento de não conformidade emitido pelo cliente a Bruning será repassado o valor integralmente aos custos da não conformidade ao fornecedor.</w:t>
      </w:r>
    </w:p>
    <w:p w:rsidR="00D37BF8" w:rsidRDefault="00195D7A" w:rsidP="002323E4">
      <w:pPr>
        <w:jc w:val="both"/>
      </w:pPr>
      <w:r>
        <w:t>*Para NC em material cujas as características sejam de S/L o impa</w:t>
      </w:r>
      <w:bookmarkStart w:id="0" w:name="_GoBack"/>
      <w:bookmarkEnd w:id="0"/>
      <w:r>
        <w:t>cto será com a taxa de crítico.</w:t>
      </w:r>
    </w:p>
    <w:sectPr w:rsidR="00D37BF8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5498" w:rsidRDefault="00C75498" w:rsidP="00C75498">
      <w:pPr>
        <w:spacing w:after="0" w:line="240" w:lineRule="auto"/>
      </w:pPr>
      <w:r>
        <w:separator/>
      </w:r>
    </w:p>
  </w:endnote>
  <w:endnote w:type="continuationSeparator" w:id="0">
    <w:p w:rsidR="00C75498" w:rsidRDefault="00C75498" w:rsidP="00C754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5498" w:rsidRDefault="00C75498">
    <w:pPr>
      <w:pStyle w:val="Rodap"/>
    </w:pPr>
    <w:r>
      <w:rPr>
        <w:noProof/>
        <w:lang w:eastAsia="pt-BR"/>
      </w:rPr>
      <w:drawing>
        <wp:anchor distT="0" distB="0" distL="114300" distR="114300" simplePos="0" relativeHeight="251659264" behindDoc="1" locked="0" layoutInCell="1" allowOverlap="1" wp14:anchorId="1ED87DEB" wp14:editId="726354F8">
          <wp:simplePos x="0" y="0"/>
          <wp:positionH relativeFrom="column">
            <wp:posOffset>4648200</wp:posOffset>
          </wp:positionH>
          <wp:positionV relativeFrom="paragraph">
            <wp:posOffset>3175</wp:posOffset>
          </wp:positionV>
          <wp:extent cx="1547495" cy="668020"/>
          <wp:effectExtent l="0" t="0" r="0" b="2540"/>
          <wp:wrapSquare wrapText="bothSides"/>
          <wp:docPr id="25" name="Imagem 25" descr="http://www.bruning.com.br/images/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http://www.bruning.com.br/images/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7495" cy="6680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C75498" w:rsidRDefault="00C75498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5498" w:rsidRDefault="00C75498" w:rsidP="00C75498">
      <w:pPr>
        <w:spacing w:after="0" w:line="240" w:lineRule="auto"/>
      </w:pPr>
      <w:r>
        <w:separator/>
      </w:r>
    </w:p>
  </w:footnote>
  <w:footnote w:type="continuationSeparator" w:id="0">
    <w:p w:rsidR="00C75498" w:rsidRDefault="00C75498" w:rsidP="00C754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5498" w:rsidRDefault="00C75498" w:rsidP="00C75498">
    <w:pPr>
      <w:pStyle w:val="Cabealho"/>
      <w:jc w:val="center"/>
    </w:pPr>
  </w:p>
  <w:tbl>
    <w:tblPr>
      <w:tblStyle w:val="Tabelacomgrade"/>
      <w:tblW w:w="0" w:type="auto"/>
      <w:tblInd w:w="-5" w:type="dxa"/>
      <w:tblLook w:val="04A0" w:firstRow="1" w:lastRow="0" w:firstColumn="1" w:lastColumn="0" w:noHBand="0" w:noVBand="1"/>
    </w:tblPr>
    <w:tblGrid>
      <w:gridCol w:w="5481"/>
      <w:gridCol w:w="903"/>
      <w:gridCol w:w="1520"/>
      <w:gridCol w:w="595"/>
    </w:tblGrid>
    <w:tr w:rsidR="00706331" w:rsidTr="005A00D5">
      <w:tc>
        <w:tcPr>
          <w:tcW w:w="5481" w:type="dxa"/>
          <w:vMerge w:val="restart"/>
          <w:vAlign w:val="center"/>
        </w:tcPr>
        <w:p w:rsidR="00706331" w:rsidRDefault="00706331" w:rsidP="00706331">
          <w:pPr>
            <w:pStyle w:val="Cabealho"/>
            <w:jc w:val="center"/>
          </w:pPr>
          <w:r>
            <w:t>MANUAL DA QUALIDADE DE FORNECEDORES</w:t>
          </w:r>
        </w:p>
      </w:tc>
      <w:tc>
        <w:tcPr>
          <w:tcW w:w="903" w:type="dxa"/>
          <w:vAlign w:val="center"/>
        </w:tcPr>
        <w:p w:rsidR="00706331" w:rsidRDefault="00706331" w:rsidP="00706331">
          <w:pPr>
            <w:pStyle w:val="Cabealho"/>
            <w:jc w:val="center"/>
          </w:pPr>
          <w:r>
            <w:t>Revisão</w:t>
          </w:r>
        </w:p>
      </w:tc>
      <w:tc>
        <w:tcPr>
          <w:tcW w:w="1520" w:type="dxa"/>
          <w:vAlign w:val="center"/>
        </w:tcPr>
        <w:p w:rsidR="00706331" w:rsidRDefault="00706331" w:rsidP="00706331">
          <w:pPr>
            <w:pStyle w:val="Cabealho"/>
            <w:jc w:val="center"/>
          </w:pPr>
          <w:r>
            <w:t>Aprovado em:</w:t>
          </w:r>
        </w:p>
      </w:tc>
      <w:tc>
        <w:tcPr>
          <w:tcW w:w="595" w:type="dxa"/>
          <w:vAlign w:val="center"/>
        </w:tcPr>
        <w:p w:rsidR="00706331" w:rsidRDefault="00706331" w:rsidP="00706331">
          <w:pPr>
            <w:pStyle w:val="Cabealho"/>
            <w:jc w:val="center"/>
          </w:pPr>
          <w:r>
            <w:t>Pág.</w:t>
          </w:r>
        </w:p>
      </w:tc>
    </w:tr>
    <w:tr w:rsidR="00706331" w:rsidTr="005A00D5">
      <w:tc>
        <w:tcPr>
          <w:tcW w:w="5481" w:type="dxa"/>
          <w:vMerge/>
          <w:vAlign w:val="center"/>
        </w:tcPr>
        <w:p w:rsidR="00706331" w:rsidRDefault="00706331" w:rsidP="00706331">
          <w:pPr>
            <w:pStyle w:val="Cabealho"/>
            <w:jc w:val="center"/>
          </w:pPr>
        </w:p>
      </w:tc>
      <w:tc>
        <w:tcPr>
          <w:tcW w:w="903" w:type="dxa"/>
          <w:vAlign w:val="center"/>
        </w:tcPr>
        <w:p w:rsidR="00706331" w:rsidRDefault="00706331" w:rsidP="00706331">
          <w:pPr>
            <w:pStyle w:val="Cabealho"/>
            <w:jc w:val="center"/>
          </w:pPr>
          <w:r>
            <w:t>004</w:t>
          </w:r>
        </w:p>
      </w:tc>
      <w:tc>
        <w:tcPr>
          <w:tcW w:w="1520" w:type="dxa"/>
          <w:vAlign w:val="center"/>
        </w:tcPr>
        <w:p w:rsidR="00706331" w:rsidRDefault="00706331" w:rsidP="00706331">
          <w:pPr>
            <w:pStyle w:val="Cabealho"/>
            <w:jc w:val="center"/>
          </w:pPr>
          <w:r>
            <w:t>27.10.2023</w:t>
          </w:r>
        </w:p>
      </w:tc>
      <w:tc>
        <w:tcPr>
          <w:tcW w:w="595" w:type="dxa"/>
          <w:vAlign w:val="center"/>
        </w:tcPr>
        <w:p w:rsidR="00706331" w:rsidRDefault="00195D7A" w:rsidP="00706331">
          <w:pPr>
            <w:pStyle w:val="Cabealho"/>
            <w:jc w:val="center"/>
          </w:pPr>
          <w:sdt>
            <w:sdtPr>
              <w:id w:val="-345402007"/>
              <w:docPartObj>
                <w:docPartGallery w:val="Page Numbers (Top of Page)"/>
                <w:docPartUnique/>
              </w:docPartObj>
            </w:sdtPr>
            <w:sdtEndPr/>
            <w:sdtContent>
              <w:r w:rsidR="00706331">
                <w:t>-</w:t>
              </w:r>
            </w:sdtContent>
          </w:sdt>
        </w:p>
      </w:tc>
    </w:tr>
  </w:tbl>
  <w:p w:rsidR="00C75498" w:rsidRDefault="00C75498">
    <w:pPr>
      <w:pStyle w:val="Cabealho"/>
    </w:pPr>
  </w:p>
  <w:p w:rsidR="00C75498" w:rsidRDefault="00C75498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498"/>
    <w:rsid w:val="00195D7A"/>
    <w:rsid w:val="002323E4"/>
    <w:rsid w:val="00344899"/>
    <w:rsid w:val="00417284"/>
    <w:rsid w:val="005A6E1B"/>
    <w:rsid w:val="00706331"/>
    <w:rsid w:val="00961F07"/>
    <w:rsid w:val="00962095"/>
    <w:rsid w:val="00BA7CA0"/>
    <w:rsid w:val="00C75498"/>
    <w:rsid w:val="00D37BF8"/>
    <w:rsid w:val="00DC6F67"/>
    <w:rsid w:val="00F6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496F1898-BCE7-4767-9F95-07F2857F9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99"/>
    <w:rsid w:val="00C75498"/>
    <w:pPr>
      <w:spacing w:after="0" w:line="240" w:lineRule="auto"/>
    </w:pPr>
    <w:rPr>
      <w:rFonts w:ascii="Calibri" w:eastAsia="Calibri" w:hAnsi="Calibri" w:cs="Calibri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C7549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75498"/>
  </w:style>
  <w:style w:type="paragraph" w:styleId="Rodap">
    <w:name w:val="footer"/>
    <w:basedOn w:val="Normal"/>
    <w:link w:val="RodapChar"/>
    <w:uiPriority w:val="99"/>
    <w:unhideWhenUsed/>
    <w:rsid w:val="00C7549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754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258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107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BRUNING TECNOMETAL LTDA</Company>
  <LinksUpToDate>false</LinksUpToDate>
  <CharactersWithSpaces>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Maiara Dessbesell Schmeil</dc:creator>
  <cp:keywords/>
  <dc:description/>
  <cp:lastModifiedBy>Tiago Winterfeld</cp:lastModifiedBy>
  <cp:revision>11</cp:revision>
  <dcterms:created xsi:type="dcterms:W3CDTF">2023-10-25T11:05:00Z</dcterms:created>
  <dcterms:modified xsi:type="dcterms:W3CDTF">2024-05-15T11:27:00Z</dcterms:modified>
</cp:coreProperties>
</file>